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4078" w:right="4197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FIŞA DISCIPLINEI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1. Date despre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Ind w:w="5.0" w:type="dxa"/>
        <w:tblLayout w:type="fixed"/>
        <w:tblLook w:val="0400"/>
      </w:tblPr>
      <w:tblGrid>
        <w:gridCol w:w="3795"/>
        <w:gridCol w:w="6435"/>
        <w:tblGridChange w:id="0">
          <w:tblGrid>
            <w:gridCol w:w="3795"/>
            <w:gridCol w:w="6435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1.1. Instituţia de învăţământ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Universitatea Creștină Partium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1.2. Facultatea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Facultatea de Litere și Arte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1.3. Departamentul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Departamentul de Limbă și Literatură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1.4. Domeniul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Limbă și literatură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1.5. Ciclul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Masterat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1.6. Programul de studii/Calificarea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Multilingvism și multiculturalism // Masterat în filologie</w:t>
            </w:r>
          </w:p>
        </w:tc>
      </w:tr>
    </w:tbl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2. Date despre disciplină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3.0" w:type="dxa"/>
        <w:jc w:val="left"/>
        <w:tblInd w:w="108.0" w:type="dxa"/>
        <w:tblLayout w:type="fixed"/>
        <w:tblLook w:val="0400"/>
      </w:tblPr>
      <w:tblGrid>
        <w:gridCol w:w="3229"/>
        <w:gridCol w:w="7004"/>
        <w:tblGridChange w:id="0">
          <w:tblGrid>
            <w:gridCol w:w="3229"/>
            <w:gridCol w:w="7004"/>
          </w:tblGrid>
        </w:tblGridChange>
      </w:tblGrid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Denumirea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Literatură, teatru și film (EN)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2.2. Titularul activităţii de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Lect. Univ. Dr. Veres Ottilia</w:t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2.3. Titularul activităţii de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Lect. Univ. Dr. Veres Ottilia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2.4. Anul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2.5. Semestrul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2.6. Tipul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Examen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2.7. Regimul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Disciplină opțională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3. Timpul total estimat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33.0" w:type="dxa"/>
        <w:jc w:val="left"/>
        <w:tblInd w:w="108.0" w:type="dxa"/>
        <w:tblLayout w:type="fixed"/>
        <w:tblLook w:val="0400"/>
      </w:tblPr>
      <w:tblGrid>
        <w:gridCol w:w="3937"/>
        <w:gridCol w:w="708"/>
        <w:gridCol w:w="1844"/>
        <w:gridCol w:w="710"/>
        <w:gridCol w:w="2273"/>
        <w:gridCol w:w="761"/>
        <w:tblGridChange w:id="0">
          <w:tblGrid>
            <w:gridCol w:w="3937"/>
            <w:gridCol w:w="708"/>
            <w:gridCol w:w="1844"/>
            <w:gridCol w:w="710"/>
            <w:gridCol w:w="2273"/>
            <w:gridCol w:w="76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3.1. Număr de ore pe săptămână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34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din care3.2.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35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3.4. Total ore din planul de învăţământ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28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din care3.5.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29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3.6.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Distribuţia fondului de timp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23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Studiul după manual, suport de curs, bibliografie şi notiţe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Documentare suplimentară în bibliotecă, pe platforme electronice de specialitate şi pe teren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Pregătire seminarii/laboratoare, teme, referate, portofolii şi eseuri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Tutoriat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Examinări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Alte activităţi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3.7. Total ore studiu individual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47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3.8. Total ore pe semestru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20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75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3.9. Numărul de credite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4. Precondiţii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(acolo unde este cazul)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3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3"/>
        <w:gridCol w:w="8140"/>
        <w:tblGridChange w:id="0">
          <w:tblGrid>
            <w:gridCol w:w="2093"/>
            <w:gridCol w:w="8140"/>
          </w:tblGrid>
        </w:tblGridChange>
      </w:tblGrid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4.1. de curriculum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63" w:right="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Cunoștințe de bază în domeniul literaturii engleze, dobândite pe parcursul studiilor BA.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4.2. de competenţe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6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Cunoaşterea limbii engleze la nivel avansat (C1)</w:t>
            </w:r>
          </w:p>
        </w:tc>
      </w:tr>
    </w:tbl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Condiţii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(acolo unde este cazul)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33.0" w:type="dxa"/>
        <w:jc w:val="left"/>
        <w:tblInd w:w="108.0" w:type="dxa"/>
        <w:tblLayout w:type="fixed"/>
        <w:tblLook w:val="0400"/>
      </w:tblPr>
      <w:tblGrid>
        <w:gridCol w:w="4928"/>
        <w:gridCol w:w="5305"/>
        <w:tblGridChange w:id="0">
          <w:tblGrid>
            <w:gridCol w:w="4928"/>
            <w:gridCol w:w="5305"/>
          </w:tblGrid>
        </w:tblGridChange>
      </w:tblGrid>
      <w:tr>
        <w:trPr>
          <w:cantSplit w:val="0"/>
          <w:trHeight w:val="7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5.1. de desfăşurare a cursului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0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Sală de curs, dotată cu laptop, videoproiector, legătură la Internet, software adecvat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5.2. de desfăşurare a seminarului/laboratorului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0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Sală de seminar, dotată cu laptop, videoproiector,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legătură la Internet, software adecvat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</w:rPr>
        <w:sectPr>
          <w:pgSz w:h="16860" w:w="11920" w:orient="portrait"/>
          <w:pgMar w:bottom="280" w:top="1140" w:left="800" w:right="64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6. Competenţe specifice acumulate</w:t>
      </w:r>
      <w:r w:rsidDel="00000000" w:rsidR="00000000" w:rsidRPr="00000000">
        <w:rPr>
          <w:rtl w:val="0"/>
        </w:rPr>
      </w:r>
    </w:p>
    <w:tbl>
      <w:tblPr>
        <w:tblStyle w:val="Table6"/>
        <w:tblW w:w="1023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27"/>
        <w:gridCol w:w="8706"/>
        <w:tblGridChange w:id="0">
          <w:tblGrid>
            <w:gridCol w:w="1527"/>
            <w:gridCol w:w="8706"/>
          </w:tblGrid>
        </w:tblGridChange>
      </w:tblGrid>
      <w:tr>
        <w:trPr>
          <w:cantSplit w:val="0"/>
          <w:trHeight w:val="1618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profesionale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C3. Prezentarea sintetică şi analitică, estetică şi culturală a fenomenelor studiate din domeniul literatură-film-teatru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C1.1. Definirea conceptelor, identificarea şi exemplificarea limbajului specific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C4.1. Definirea şi exemplificarea conceptelor, domeniilor şi metodelor critice de bază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70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C6.2. Explicarea poziţiei operelor discutate în contextul tradiţiilor literare din cultura de referinţă.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70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70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2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transversale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" w:right="1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CT1.Utilizarea componentelor domeniului în deplină concordanţă cu etica profesională;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" w:right="1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CT2. Relaţionarea în echipă; comunicarea interpersonală şi asumarea de roluri specifice;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" w:right="1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7. Obiectivele disciplinei 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(reieşind din grila competenţelor specifice acumulate)</w:t>
      </w:r>
      <w:r w:rsidDel="00000000" w:rsidR="00000000" w:rsidRPr="00000000">
        <w:rPr>
          <w:rtl w:val="0"/>
        </w:rPr>
      </w:r>
    </w:p>
    <w:tbl>
      <w:tblPr>
        <w:tblStyle w:val="Table7"/>
        <w:tblW w:w="10234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7574"/>
        <w:tblGridChange w:id="0">
          <w:tblGrid>
            <w:gridCol w:w="2660"/>
            <w:gridCol w:w="7574"/>
          </w:tblGrid>
        </w:tblGridChange>
      </w:tblGrid>
      <w:tr>
        <w:trPr>
          <w:cantSplit w:val="0"/>
          <w:trHeight w:val="2210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7.1. Obiectivul general al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disciplinei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46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OG1. Îmbunătăţirea capacităţii studenţilor de a opera cu noţiuni teoretice; OG2. dezvoltarea abilității de a realiza interpretări teoretice în contextul: literatură, film și teatru;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61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OG3. dezvoltarea abilităţii de sintetizare a conceptelor fundamentale şi evaluare critică a perspectivelor multiple aparţinând disciplinei.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35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OG4. încurajarea utilizării mediilor audio-vizuale în procesul de predare al limbii engleze ca limbă modernă;</w:t>
            </w:r>
          </w:p>
        </w:tc>
      </w:tr>
      <w:tr>
        <w:trPr>
          <w:cantSplit w:val="0"/>
          <w:trHeight w:val="796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7.2. Obiectivele specifice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OS1. Dezvoltarea gândirii critice, analitice asupra domeniului;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OS2. dezvoltarea competențelor de argumentare pe suport oral și scris.</w:t>
            </w:r>
          </w:p>
        </w:tc>
      </w:tr>
    </w:tbl>
    <w:p w:rsidR="00000000" w:rsidDel="00000000" w:rsidP="00000000" w:rsidRDefault="00000000" w:rsidRPr="00000000" w14:paraId="0000009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Conţinuturi</w:t>
      </w:r>
    </w:p>
    <w:p w:rsidR="00000000" w:rsidDel="00000000" w:rsidP="00000000" w:rsidRDefault="00000000" w:rsidRPr="00000000" w14:paraId="00000096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192.0" w:type="dxa"/>
        <w:jc w:val="left"/>
        <w:tblInd w:w="5.0" w:type="dxa"/>
        <w:tblLayout w:type="fixed"/>
        <w:tblLook w:val="0000"/>
      </w:tblPr>
      <w:tblGrid>
        <w:gridCol w:w="5353"/>
        <w:gridCol w:w="3121"/>
        <w:gridCol w:w="1718"/>
        <w:tblGridChange w:id="0">
          <w:tblGrid>
            <w:gridCol w:w="5353"/>
            <w:gridCol w:w="3121"/>
            <w:gridCol w:w="1718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line="272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8.1. Curs și seminar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line="272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72" w:lineRule="auto"/>
              <w:ind w:left="102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the course. Genres and texts. Literature, theatre, film.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820"/>
              </w:tabs>
              <w:spacing w:before="4"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8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Short film.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Sing/Mindenki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(2016, d. Kristóf Deák). Introduction to cinematography, basic film concepts.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PCU English Department promotion campaign (2018, 2019): Literary promotion videos: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Hamlet, Great Gatsby, Frankenstein, Godot, Poe, Robinson, Mary Poppins, Alice, Lady Macbeth, Jane Eyre, Wuthering Heights, My Fair Lady.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Hamlet Revisited.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Theatre.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1d2125"/>
                  <w:sz w:val="24"/>
                  <w:szCs w:val="24"/>
                  <w:highlight w:val="white"/>
                  <w:u w:val="none"/>
                  <w:vertAlign w:val="baseline"/>
                  <w:rtl w:val="0"/>
                </w:rPr>
                <w:t xml:space="preserve">Hamlet.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d2125"/>
                  <w:sz w:val="24"/>
                  <w:szCs w:val="24"/>
                  <w:highlight w:val="white"/>
                  <w:u w:val="none"/>
                  <w:vertAlign w:val="baseline"/>
                  <w:rtl w:val="0"/>
                </w:rPr>
                <w:t xml:space="preserve"> Directed by Robert Icke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Experimental Film.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Rub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(dir. Péter Lichter, Bori Máté). Hamlet Adaptation.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ore</w:t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Carol Ann Duffy.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World’s Wife.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Franz Kafka.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Metamorphosis.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prezentare powerpoint, 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Kafka Adaptations.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Péter Kárpáti,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Én, a féreg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8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Theatre. Péter Kárpáti,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Én, a féreg.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Szigligeti Theatre, Oradea.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11. Daniel Clay,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Broken.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The Novel.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12.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Broken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(2012, dir. Rufus Norris)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dezbateri pe text, discuţii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11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ind w:left="11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Fish Tank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(2009, dir. Andrea Arnold)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widowControl w:val="1"/>
              <w:spacing w:after="160" w:line="259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dezbateri pe text, discuţii interactive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widowControl w:val="1"/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1"/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Evaluation to the course. Round-up.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widowControl w:val="1"/>
              <w:spacing w:after="160" w:line="259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1"/>
              <w:spacing w:after="160" w:line="259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ore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77.0" w:type="dxa"/>
        <w:jc w:val="left"/>
        <w:tblInd w:w="108.0" w:type="dxa"/>
        <w:tblLayout w:type="fixed"/>
        <w:tblLook w:val="0400"/>
      </w:tblPr>
      <w:tblGrid>
        <w:gridCol w:w="10077"/>
        <w:tblGridChange w:id="0">
          <w:tblGrid>
            <w:gridCol w:w="10077"/>
          </w:tblGrid>
        </w:tblGridChange>
      </w:tblGrid>
      <w:tr>
        <w:trPr>
          <w:cantSplit w:val="0"/>
          <w:trHeight w:val="6491" w:hRule="atLeast"/>
          <w:tblHeader w:val="0"/>
        </w:trPr>
        <w:tc>
          <w:tcPr>
            <w:tcBorders>
              <w:top w:color="000000" w:space="0" w:sz="10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Bibliografie:</w:t>
            </w:r>
          </w:p>
          <w:p w:rsidR="00000000" w:rsidDel="00000000" w:rsidP="00000000" w:rsidRDefault="00000000" w:rsidRPr="00000000" w14:paraId="000000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Boggs, Joseph.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The Art of Watching Films.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McGraw-Hill, 2004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Bökös, Borbála ed.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Studies in Intermediality and Literature.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Oradea: Partium, 2018.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Clay, Daniel.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Broken.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Novel.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Fuery, Patrick.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New Developments in Film Theory.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London, MacMillan, 2000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Hoser, Tania.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Cinematography: Learning Through Practice.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Routledge, 2018.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Gaudreault, Andre.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From Plato to Lumiere: Narration and Monstration in Literature and Cinema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Toronto: University of Toronto Press, 2009. 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Kafka, Franz.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Metamorphosis.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Kárpáti, Péter.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Én, a féreg.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Larocca, David.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Metacinema: The Form and Content of Filmic Reference and Reflexivity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Oxford UP, </w:t>
            </w:r>
          </w:p>
          <w:p w:rsidR="00000000" w:rsidDel="00000000" w:rsidP="00000000" w:rsidRDefault="00000000" w:rsidRPr="00000000" w14:paraId="000000D7">
            <w:pPr>
              <w:spacing w:after="0" w:lineRule="auto"/>
              <w:ind w:left="72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2021. </w:t>
            </w:r>
          </w:p>
          <w:p w:rsidR="00000000" w:rsidDel="00000000" w:rsidP="00000000" w:rsidRDefault="00000000" w:rsidRPr="00000000" w14:paraId="000000D8">
            <w:pPr>
              <w:spacing w:after="0" w:lineRule="auto"/>
              <w:ind w:left="72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Lichter, Peter.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The Rub.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Experimental film.</w:t>
            </w:r>
          </w:p>
          <w:p w:rsidR="00000000" w:rsidDel="00000000" w:rsidP="00000000" w:rsidRDefault="00000000" w:rsidRPr="00000000" w14:paraId="000000D9">
            <w:pPr>
              <w:spacing w:after="0" w:lineRule="auto"/>
              <w:ind w:left="72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Naremore, James.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Film Adaptation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New Brunswick: Rutgers University Press, 2000.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Rees, A. L.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History of Experimental Film and Video: From the Canonical Avant-Garde to Contemporary British Practice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British Film Institute BFI Film Classics Series. London: Bloomsbury, 2011.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Shail, Robert.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British Film Directors A Critical Guide.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Edinburgh: Edinburgh UP, 2007. 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Shakespeare, William.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Hamlet.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Wood, Jason, and Ian Haydn Smith.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New British Cinema from Submarine to 12 Years a Slave. The Resurgence of British Film-making.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London: Faber &amp; Faber, 2015.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ind w:left="72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0" w:line="240" w:lineRule="auto"/>
        <w:ind w:left="119" w:right="23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Coroborarea conţinuturilor disciplinei cu aşteptările reprezentanţilor comunităţii epistemice, asociaţilor profesionale şi angajatori reprezentativi din domeniul aferent programului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64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4"/>
        <w:tblGridChange w:id="0">
          <w:tblGrid>
            <w:gridCol w:w="100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Conținutul disciplinei este în concordanță cu ceea ce se practică în alte centre universitare din țară și din străinătate. </w:t>
            </w:r>
          </w:p>
        </w:tc>
      </w:tr>
    </w:tbl>
    <w:p w:rsidR="00000000" w:rsidDel="00000000" w:rsidP="00000000" w:rsidRDefault="00000000" w:rsidRPr="00000000" w14:paraId="000000E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Evaluare</w:t>
      </w:r>
    </w:p>
    <w:p w:rsidR="00000000" w:rsidDel="00000000" w:rsidP="00000000" w:rsidRDefault="00000000" w:rsidRPr="00000000" w14:paraId="000000EA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192.0" w:type="dxa"/>
        <w:jc w:val="left"/>
        <w:tblInd w:w="108.0" w:type="dxa"/>
        <w:tblLayout w:type="fixed"/>
        <w:tblLook w:val="0400"/>
      </w:tblPr>
      <w:tblGrid>
        <w:gridCol w:w="2518"/>
        <w:gridCol w:w="2410"/>
        <w:gridCol w:w="2717"/>
        <w:gridCol w:w="2547"/>
        <w:tblGridChange w:id="0">
          <w:tblGrid>
            <w:gridCol w:w="2518"/>
            <w:gridCol w:w="2410"/>
            <w:gridCol w:w="2717"/>
            <w:gridCol w:w="254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 activitate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10.1. Criterii de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10.2. Metode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10.3. Pondere din nota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finală</w:t>
            </w:r>
          </w:p>
        </w:tc>
      </w:tr>
      <w:tr>
        <w:trPr>
          <w:cantSplit w:val="0"/>
          <w:trHeight w:val="3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10.4.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383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corectitudinea si completitudinea cunoștințelor;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3.00000000000006" w:lineRule="auto"/>
              <w:ind w:left="432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coerența logică;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125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gradul de asimilare a limbajului de specialitate;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217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 interesul pentru studiu 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examen scris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33" w:right="102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</w:tr>
      <w:tr>
        <w:trPr>
          <w:cantSplit w:val="0"/>
          <w:trHeight w:val="31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10.5.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444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capacitatea de a opera cu cunoștințele asimilate;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71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capacitatea de aplicare în practică;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227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 interesul pentru studiu 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85" w:right="97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33" w:right="102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</w:tr>
      <w:tr>
        <w:trPr>
          <w:cantSplit w:val="0"/>
          <w:trHeight w:val="161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10.6. Standard minim de performanță: </w:t>
            </w:r>
          </w:p>
          <w:p w:rsidR="00000000" w:rsidDel="00000000" w:rsidP="00000000" w:rsidRDefault="00000000" w:rsidRPr="00000000" w14:paraId="0000011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Cunoașterea elementelor fundamentale de teorie, utilizarea metodelor specifice în analiza unor opere; folosirea adecvată a terminologiei, aplicarea cunoștințelor teoretice pe parcursul analizelor; 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1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2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0"/>
        <w:gridCol w:w="3904"/>
        <w:gridCol w:w="3836"/>
        <w:tblGridChange w:id="0">
          <w:tblGrid>
            <w:gridCol w:w="2520"/>
            <w:gridCol w:w="3904"/>
            <w:gridCol w:w="3836"/>
          </w:tblGrid>
        </w:tblGridChange>
      </w:tblGrid>
      <w:tr>
        <w:trPr>
          <w:cantSplit w:val="0"/>
          <w:trHeight w:val="10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completării</w:t>
            </w:r>
          </w:p>
          <w:p w:rsidR="00000000" w:rsidDel="00000000" w:rsidP="00000000" w:rsidRDefault="00000000" w:rsidRPr="00000000" w14:paraId="0000011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06.07.2023</w:t>
            </w:r>
          </w:p>
          <w:p w:rsidR="00000000" w:rsidDel="00000000" w:rsidP="00000000" w:rsidRDefault="00000000" w:rsidRPr="00000000" w14:paraId="0000011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curs</w:t>
            </w:r>
          </w:p>
          <w:p w:rsidR="00000000" w:rsidDel="00000000" w:rsidP="00000000" w:rsidRDefault="00000000" w:rsidRPr="00000000" w14:paraId="000001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Lect. Univ. dr. Veres Ottilia</w:t>
            </w:r>
          </w:p>
          <w:p w:rsidR="00000000" w:rsidDel="00000000" w:rsidP="00000000" w:rsidRDefault="00000000" w:rsidRPr="00000000" w14:paraId="0000011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seminar</w:t>
            </w:r>
          </w:p>
          <w:p w:rsidR="00000000" w:rsidDel="00000000" w:rsidP="00000000" w:rsidRDefault="00000000" w:rsidRPr="00000000" w14:paraId="000001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Lect. Univ. dr. Veres Ottilia</w:t>
            </w:r>
          </w:p>
          <w:p w:rsidR="00000000" w:rsidDel="00000000" w:rsidP="00000000" w:rsidRDefault="00000000" w:rsidRPr="00000000" w14:paraId="0000011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avizării în departament</w:t>
            </w:r>
          </w:p>
          <w:p w:rsidR="00000000" w:rsidDel="00000000" w:rsidP="00000000" w:rsidRDefault="00000000" w:rsidRPr="00000000" w14:paraId="0000012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06.07.2023</w:t>
            </w:r>
          </w:p>
          <w:p w:rsidR="00000000" w:rsidDel="00000000" w:rsidP="00000000" w:rsidRDefault="00000000" w:rsidRPr="00000000" w14:paraId="000001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directorului de departament: </w:t>
            </w:r>
          </w:p>
          <w:p w:rsidR="00000000" w:rsidDel="00000000" w:rsidP="00000000" w:rsidRDefault="00000000" w:rsidRPr="00000000" w14:paraId="0000012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Lect. Univ. dr. Antal-Fórizs Ioan-James</w:t>
            </w:r>
          </w:p>
        </w:tc>
      </w:tr>
    </w:tbl>
    <w:p w:rsidR="00000000" w:rsidDel="00000000" w:rsidP="00000000" w:rsidRDefault="00000000" w:rsidRPr="00000000" w14:paraId="0000012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nextPage"/>
      <w:pgSz w:h="16860" w:w="11920" w:orient="portrait"/>
      <w:pgMar w:bottom="280" w:top="1040" w:left="800" w:right="6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432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•"/>
      <w:lvlJc w:val="left"/>
      <w:pPr>
        <w:ind w:left="636" w:hanging="360"/>
      </w:pPr>
      <w:rPr>
        <w:rFonts w:ascii="Times New Roman" w:cs="Times New Roman" w:eastAsia="Times New Roman" w:hAnsi="Times New Roman"/>
      </w:rPr>
    </w:lvl>
    <w:lvl w:ilvl="2">
      <w:start w:val="0"/>
      <w:numFmt w:val="bullet"/>
      <w:lvlText w:val="•"/>
      <w:lvlJc w:val="left"/>
      <w:pPr>
        <w:ind w:left="832" w:hanging="360"/>
      </w:pPr>
      <w:rPr>
        <w:rFonts w:ascii="Times New Roman" w:cs="Times New Roman" w:eastAsia="Times New Roman" w:hAnsi="Times New Roman"/>
      </w:rPr>
    </w:lvl>
    <w:lvl w:ilvl="3">
      <w:start w:val="0"/>
      <w:numFmt w:val="bullet"/>
      <w:lvlText w:val="•"/>
      <w:lvlJc w:val="left"/>
      <w:pPr>
        <w:ind w:left="1028" w:hanging="360"/>
      </w:pPr>
      <w:rPr>
        <w:rFonts w:ascii="Times New Roman" w:cs="Times New Roman" w:eastAsia="Times New Roman" w:hAnsi="Times New Roman"/>
      </w:rPr>
    </w:lvl>
    <w:lvl w:ilvl="4">
      <w:start w:val="0"/>
      <w:numFmt w:val="bullet"/>
      <w:lvlText w:val="•"/>
      <w:lvlJc w:val="left"/>
      <w:pPr>
        <w:ind w:left="1224" w:hanging="360"/>
      </w:pPr>
      <w:rPr>
        <w:rFonts w:ascii="Times New Roman" w:cs="Times New Roman" w:eastAsia="Times New Roman" w:hAnsi="Times New Roman"/>
      </w:rPr>
    </w:lvl>
    <w:lvl w:ilvl="5">
      <w:start w:val="0"/>
      <w:numFmt w:val="bullet"/>
      <w:lvlText w:val="•"/>
      <w:lvlJc w:val="left"/>
      <w:pPr>
        <w:ind w:left="1420" w:hanging="360"/>
      </w:pPr>
      <w:rPr>
        <w:rFonts w:ascii="Times New Roman" w:cs="Times New Roman" w:eastAsia="Times New Roman" w:hAnsi="Times New Roman"/>
      </w:rPr>
    </w:lvl>
    <w:lvl w:ilvl="6">
      <w:start w:val="0"/>
      <w:numFmt w:val="bullet"/>
      <w:lvlText w:val="•"/>
      <w:lvlJc w:val="left"/>
      <w:pPr>
        <w:ind w:left="1616" w:hanging="360"/>
      </w:pPr>
      <w:rPr>
        <w:rFonts w:ascii="Times New Roman" w:cs="Times New Roman" w:eastAsia="Times New Roman" w:hAnsi="Times New Roman"/>
      </w:rPr>
    </w:lvl>
    <w:lvl w:ilvl="7">
      <w:start w:val="0"/>
      <w:numFmt w:val="bullet"/>
      <w:lvlText w:val="•"/>
      <w:lvlJc w:val="left"/>
      <w:pPr>
        <w:ind w:left="1812" w:hanging="360"/>
      </w:pPr>
      <w:rPr>
        <w:rFonts w:ascii="Times New Roman" w:cs="Times New Roman" w:eastAsia="Times New Roman" w:hAnsi="Times New Roman"/>
      </w:rPr>
    </w:lvl>
    <w:lvl w:ilvl="8">
      <w:start w:val="0"/>
      <w:numFmt w:val="bullet"/>
      <w:lvlText w:val="•"/>
      <w:lvlJc w:val="left"/>
      <w:pPr>
        <w:ind w:left="2008" w:hanging="360"/>
      </w:pPr>
      <w:rPr>
        <w:rFonts w:ascii="Times New Roman" w:cs="Times New Roman" w:eastAsia="Times New Roman" w:hAnsi="Times New Roman"/>
      </w:rPr>
    </w:lvl>
  </w:abstractNum>
  <w:abstractNum w:abstractNumId="2">
    <w:lvl w:ilvl="0">
      <w:start w:val="0"/>
      <w:numFmt w:val="bullet"/>
      <w:lvlText w:val="●"/>
      <w:lvlJc w:val="left"/>
      <w:pPr>
        <w:ind w:left="432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•"/>
      <w:lvlJc w:val="left"/>
      <w:pPr>
        <w:ind w:left="636" w:hanging="360"/>
      </w:pPr>
      <w:rPr>
        <w:rFonts w:ascii="Times New Roman" w:cs="Times New Roman" w:eastAsia="Times New Roman" w:hAnsi="Times New Roman"/>
      </w:rPr>
    </w:lvl>
    <w:lvl w:ilvl="2">
      <w:start w:val="0"/>
      <w:numFmt w:val="bullet"/>
      <w:lvlText w:val="•"/>
      <w:lvlJc w:val="left"/>
      <w:pPr>
        <w:ind w:left="832" w:hanging="360"/>
      </w:pPr>
      <w:rPr>
        <w:rFonts w:ascii="Times New Roman" w:cs="Times New Roman" w:eastAsia="Times New Roman" w:hAnsi="Times New Roman"/>
      </w:rPr>
    </w:lvl>
    <w:lvl w:ilvl="3">
      <w:start w:val="0"/>
      <w:numFmt w:val="bullet"/>
      <w:lvlText w:val="•"/>
      <w:lvlJc w:val="left"/>
      <w:pPr>
        <w:ind w:left="1028" w:hanging="360"/>
      </w:pPr>
      <w:rPr>
        <w:rFonts w:ascii="Times New Roman" w:cs="Times New Roman" w:eastAsia="Times New Roman" w:hAnsi="Times New Roman"/>
      </w:rPr>
    </w:lvl>
    <w:lvl w:ilvl="4">
      <w:start w:val="0"/>
      <w:numFmt w:val="bullet"/>
      <w:lvlText w:val="•"/>
      <w:lvlJc w:val="left"/>
      <w:pPr>
        <w:ind w:left="1224" w:hanging="360"/>
      </w:pPr>
      <w:rPr>
        <w:rFonts w:ascii="Times New Roman" w:cs="Times New Roman" w:eastAsia="Times New Roman" w:hAnsi="Times New Roman"/>
      </w:rPr>
    </w:lvl>
    <w:lvl w:ilvl="5">
      <w:start w:val="0"/>
      <w:numFmt w:val="bullet"/>
      <w:lvlText w:val="•"/>
      <w:lvlJc w:val="left"/>
      <w:pPr>
        <w:ind w:left="1420" w:hanging="360"/>
      </w:pPr>
      <w:rPr>
        <w:rFonts w:ascii="Times New Roman" w:cs="Times New Roman" w:eastAsia="Times New Roman" w:hAnsi="Times New Roman"/>
      </w:rPr>
    </w:lvl>
    <w:lvl w:ilvl="6">
      <w:start w:val="0"/>
      <w:numFmt w:val="bullet"/>
      <w:lvlText w:val="•"/>
      <w:lvlJc w:val="left"/>
      <w:pPr>
        <w:ind w:left="1616" w:hanging="360"/>
      </w:pPr>
      <w:rPr>
        <w:rFonts w:ascii="Times New Roman" w:cs="Times New Roman" w:eastAsia="Times New Roman" w:hAnsi="Times New Roman"/>
      </w:rPr>
    </w:lvl>
    <w:lvl w:ilvl="7">
      <w:start w:val="0"/>
      <w:numFmt w:val="bullet"/>
      <w:lvlText w:val="•"/>
      <w:lvlJc w:val="left"/>
      <w:pPr>
        <w:ind w:left="1812" w:hanging="360"/>
      </w:pPr>
      <w:rPr>
        <w:rFonts w:ascii="Times New Roman" w:cs="Times New Roman" w:eastAsia="Times New Roman" w:hAnsi="Times New Roman"/>
      </w:rPr>
    </w:lvl>
    <w:lvl w:ilvl="8">
      <w:start w:val="0"/>
      <w:numFmt w:val="bullet"/>
      <w:lvlText w:val="•"/>
      <w:lvlJc w:val="left"/>
      <w:pPr>
        <w:ind w:left="2008" w:hanging="360"/>
      </w:pPr>
      <w:rPr>
        <w:rFonts w:ascii="Times New Roman" w:cs="Times New Roman" w:eastAsia="Times New Roman" w:hAnsi="Times New Roman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widowControl w:val="1"/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spacing w:after="200" w:line="276" w:lineRule="auto"/>
    </w:pPr>
    <w:rPr>
      <w:rFonts w:asciiTheme="minorHAnsi" w:cstheme="minorBidi" w:eastAsia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8B54E4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 w:val="1"/>
    <w:pPr>
      <w:widowControl w:val="1"/>
      <w:spacing w:after="100" w:afterAutospacing="1" w:before="100" w:beforeAutospacing="1" w:line="240" w:lineRule="auto"/>
      <w:outlineLvl w:val="3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ro-R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link w:val="BodyTextChar"/>
    <w:semiHidden w:val="1"/>
    <w:unhideWhenUsed w:val="1"/>
    <w:qFormat w:val="1"/>
    <w:pPr>
      <w:widowControl w:val="1"/>
      <w:spacing w:after="0" w:line="240" w:lineRule="auto"/>
    </w:pPr>
    <w:rPr>
      <w:rFonts w:ascii="Verdana" w:cs="Times New Roman" w:eastAsia="Times New Roman" w:hAnsi="Verdana"/>
      <w:sz w:val="24"/>
      <w:szCs w:val="20"/>
    </w:rPr>
  </w:style>
  <w:style w:type="character" w:styleId="Emphasis">
    <w:name w:val="Emphasis"/>
    <w:basedOn w:val="DefaultParagraphFont"/>
    <w:uiPriority w:val="20"/>
    <w:qFormat w:val="1"/>
    <w:rPr>
      <w:i w:val="1"/>
      <w:iCs w:val="1"/>
    </w:rPr>
  </w:style>
  <w:style w:type="character" w:styleId="FollowedHyperlink">
    <w:name w:val="FollowedHyperlink"/>
    <w:basedOn w:val="DefaultParagraphFont"/>
    <w:uiPriority w:val="99"/>
    <w:semiHidden w:val="1"/>
    <w:unhideWhenUsed w:val="1"/>
    <w:qFormat w:val="1"/>
    <w:rPr>
      <w:color w:val="800080" w:themeColor="followedHyperlink"/>
      <w:u w:val="single"/>
    </w:rPr>
  </w:style>
  <w:style w:type="character" w:styleId="HTMLCite">
    <w:name w:val="HTML Cite"/>
    <w:basedOn w:val="DefaultParagraphFont"/>
    <w:qFormat w:val="1"/>
    <w:rPr>
      <w:i w:val="1"/>
      <w:iCs w:val="1"/>
    </w:rPr>
  </w:style>
  <w:style w:type="character" w:styleId="Hyperlink">
    <w:name w:val="Hyperlink"/>
    <w:basedOn w:val="DefaultParagraphFont"/>
    <w:uiPriority w:val="99"/>
    <w:unhideWhenUsed w:val="1"/>
    <w:qFormat w:val="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 w:val="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character" w:styleId="Heading4Char" w:customStyle="1">
    <w:name w:val="Heading 4 Char"/>
    <w:basedOn w:val="DefaultParagraphFont"/>
    <w:link w:val="Heading4"/>
    <w:uiPriority w:val="9"/>
    <w:qFormat w:val="1"/>
    <w:rPr>
      <w:rFonts w:ascii="Times New Roman" w:cs="Times New Roman" w:eastAsia="Times New Roman" w:hAnsi="Times New Roman"/>
      <w:b w:val="1"/>
      <w:bCs w:val="1"/>
      <w:sz w:val="24"/>
      <w:szCs w:val="24"/>
      <w:lang w:eastAsia="zh-CN" w:val="ro-RO"/>
    </w:rPr>
  </w:style>
  <w:style w:type="paragraph" w:styleId="Norml1" w:customStyle="1">
    <w:name w:val="Normál1"/>
    <w:qFormat w:val="1"/>
    <w:pPr>
      <w:widowControl w:val="0"/>
      <w:spacing w:after="0" w:line="240" w:lineRule="auto"/>
    </w:pPr>
    <w:rPr>
      <w:rFonts w:eastAsia="Times New Roman"/>
      <w:lang w:eastAsia="hu-HU" w:val="hu-HU"/>
    </w:rPr>
  </w:style>
  <w:style w:type="character" w:styleId="keyvalue" w:customStyle="1">
    <w:name w:val="keyvalue"/>
    <w:basedOn w:val="DefaultParagraphFont"/>
    <w:qFormat w:val="1"/>
  </w:style>
  <w:style w:type="character" w:styleId="xc" w:customStyle="1">
    <w:name w:val="xc"/>
    <w:basedOn w:val="DefaultParagraphFont"/>
    <w:qFormat w:val="1"/>
  </w:style>
  <w:style w:type="character" w:styleId="BodyTextChar" w:customStyle="1">
    <w:name w:val="Body Text Char"/>
    <w:basedOn w:val="DefaultParagraphFont"/>
    <w:link w:val="BodyText"/>
    <w:semiHidden w:val="1"/>
    <w:qFormat w:val="1"/>
    <w:rPr>
      <w:rFonts w:ascii="Verdana" w:cs="Times New Roman" w:eastAsia="Times New Roman" w:hAnsi="Verdana"/>
      <w:sz w:val="24"/>
      <w:szCs w:val="20"/>
    </w:rPr>
  </w:style>
  <w:style w:type="paragraph" w:styleId="Default" w:customStyle="1">
    <w:name w:val="Default"/>
    <w:qFormat w:val="1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styleId="TableParagraph" w:customStyle="1">
    <w:name w:val="Table Paragraph"/>
    <w:basedOn w:val="Normal"/>
    <w:qFormat w:val="1"/>
    <w:rPr>
      <w:rFonts w:ascii="Times New Roman" w:cs="Times New Roman" w:eastAsia="Times New Roman" w:hAnsi="Times New Roman"/>
      <w:lang w:bidi="ro-RO" w:eastAsia="ro-RO" w:val="ro-RO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qFormat w:val="1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NoSpacing">
    <w:name w:val="No Spacing"/>
    <w:uiPriority w:val="1"/>
    <w:qFormat w:val="1"/>
    <w:rsid w:val="00E1338B"/>
    <w:pPr>
      <w:widowControl w:val="0"/>
      <w:spacing w:after="0" w:line="240" w:lineRule="auto"/>
    </w:pPr>
    <w:rPr>
      <w:rFonts w:ascii="Calibri" w:cs="Calibri" w:eastAsia="Times New Roman" w:hAnsi="Calibri"/>
      <w:sz w:val="22"/>
      <w:szCs w:val="22"/>
    </w:rPr>
  </w:style>
  <w:style w:type="character" w:styleId="fn" w:customStyle="1">
    <w:name w:val="fn"/>
    <w:basedOn w:val="DefaultParagraphFont"/>
    <w:rsid w:val="00E1338B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338B"/>
    <w:pPr>
      <w:spacing w:after="0" w:line="240" w:lineRule="auto"/>
    </w:pPr>
    <w:rPr>
      <w:rFonts w:ascii="Tahoma" w:cs="Tahoma" w:eastAsia="Times New Roman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338B"/>
    <w:rPr>
      <w:rFonts w:ascii="Tahoma" w:cs="Tahoma" w:eastAsia="Times New Roman" w:hAnsi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8B54E4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moodle.partium.ro/course/section.php?id=4046" TargetMode="External"/><Relationship Id="rId8" Type="http://schemas.openxmlformats.org/officeDocument/2006/relationships/hyperlink" Target="https://moodle.partium.ro/course/section.php?id=4046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q5iW0mb4rufGT1KWOQyLbMehTA==">CgMxLjAyCGguZ2pkZ3hzOAByITFBbDJOTzJvcG83RG9CNjY1RFdtSG1LU1p5RDJVdnNIcA==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2024-11-23T20:02:00Z</dcterms:created>
  <dc:creator>Lorena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  <property fmtid="{D5CDD505-2E9C-101B-9397-08002B2CF9AE}" pid="4" name="KSOProductBuildVer">
    <vt:lpwstr>1033-10.2.0.7587</vt:lpwstr>
  </property>
</Properties>
</file>